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**QubitsCube User Policy Insurance Agreement**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**I. Overview of Insurance Mechanism**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QubitsCube is committed to providing users with a secure and reliable trading environment, thus establishing a sound insurance mechanism. Each time a user invests, 0.1% to 0.5% of the amount will automatically enter the insurance fund pool. The purpose of this fund pool is to address potential trading risks and safeguard user rights.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**II. Closure Execution and Insurance Compensation**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1. When a user's investment drawdown rate reaches the system's set trigger threshold, the system will execute a forced closure operation.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2. During the forced closure process, the system will utilize funds from the insurance fund pool for compensation.</w:t>
      </w:r>
    </w:p>
    <w:p>
      <w:pPr>
        <w:numPr>
          <w:numId w:val="0"/>
        </w:numPr>
        <w:rPr>
          <w:rFonts w:hint="eastAsia"/>
        </w:rPr>
      </w:pPr>
      <w:bookmarkStart w:id="0" w:name="_GoBack"/>
      <w:bookmarkEnd w:id="0"/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3. The compensation amount will be reasonably allocated based on the proportion of the user's investment losses and the size of the insurance fund pool.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**III. Effectiveness of the Insurance Agreement**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1. This insurance agreement will take effect when the user successfully invests and starts using the QubitsCube strategy.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2. Users are not required to sign this insurance agreement; simply reading and using the QubitsCube strategy implies acceptance of all terms of this insurance agreement.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**IV. Risk Avoidance and User Rights**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1. The establishment of the insurance mechanism aims to mitigate potential risks but cannot cover all possible scenarios.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2. QubitsCube will do its utmost to safeguard user rights but is not responsible for losses caused by market changes, force majeure, etc.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**V. Protocol Revision and Notification**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1. QubitsCube reserves the right to revise the insurance agreement as needed, and the revised agreement will become effective upon publication on the platform.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2. Users are responsible for regularly reviewing and understanding the latest content of the insurance agreement to ensure a full understanding of the insurance mechanism.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**VI. Disclaimer**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1. User use of the QubitsCube strategy signifies full understanding and agreement to abide by all provisions of this insurance agreement.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</w:pPr>
      <w:r>
        <w:rPr>
          <w:rFonts w:hint="eastAsia"/>
        </w:rPr>
        <w:t>2. The interpretation of this insurance agreement belongs to QubitsCube; for any questions, please contact platform customer service for resolution.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YTg1NWQxZDU5MjgyMDg4ZWEzNTAwNTg3MWE0YmYifQ=="/>
  </w:docVars>
  <w:rsids>
    <w:rsidRoot w:val="00000000"/>
    <w:rsid w:val="573A4C7F"/>
    <w:rsid w:val="5CB9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2024-02-27T13:12:00Z</dcterms:created>
  <dc:creator>1</dc:creator>
  <cp:lastModifiedBy>1</cp:lastModifiedBy>
  <dcterms:modified xsi:type="dcterms:W3CDTF">2024-02-29T14:31:41Z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E539303A6C5E4C46B2816689F54DCB73_12</vt:lpwstr>
  </property>
</Properties>
</file>